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83" w:rsidRPr="00117883" w:rsidRDefault="00117883" w:rsidP="00117883">
      <w:pPr>
        <w:spacing w:after="0" w:line="240" w:lineRule="auto"/>
        <w:ind w:left="300" w:right="300" w:firstLine="397"/>
        <w:jc w:val="both"/>
        <w:outlineLvl w:val="0"/>
        <w:rPr>
          <w:rFonts w:ascii="Times New Roman" w:eastAsia="Times New Roman" w:hAnsi="Times New Roman" w:cs="Times New Roman"/>
          <w:b/>
          <w:bCs/>
          <w:color w:val="474747"/>
          <w:kern w:val="36"/>
          <w:lang w:eastAsia="ru-RU"/>
        </w:rPr>
      </w:pPr>
      <w:r w:rsidRPr="00117883">
        <w:rPr>
          <w:rFonts w:ascii="Times New Roman" w:eastAsia="Times New Roman" w:hAnsi="Times New Roman" w:cs="Times New Roman"/>
          <w:b/>
          <w:bCs/>
          <w:color w:val="474747"/>
          <w:kern w:val="36"/>
          <w:lang w:eastAsia="ru-RU"/>
        </w:rPr>
        <w:t>Возможности и свойства EWB 5.12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Программа 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Electronics</w:t>
      </w:r>
      <w:proofErr w:type="spellEnd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Workbench</w:t>
      </w:r>
      <w:proofErr w:type="spellEnd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</w:t>
      </w: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позволяет моделировать аналоговые, цифровые и цифроаналоговые схемы большой степени сложности. Имеющиеся в программе библиотеки включают в себя большой набор широко распространенных электронных компонентов. Есть возможность подключения и создания новых библиотек компонентов.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Параметры компонентов можно менять в широком диапазоне значений. Простые компоненты описываются набором параметров, значения которых можно изменять непосредственно с клавиатуры, активные элементы – моделью, представляющей собой совокупность параметров и описывающей конкретный элемент или его идеальное представление (по умолчанию).</w:t>
      </w:r>
      <w:bookmarkStart w:id="0" w:name="_GoBack"/>
      <w:bookmarkEnd w:id="0"/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 xml:space="preserve">Широкий набор приборов позволяет производить измерения различных величин, задавать входные воздействия, строить графики. Все приборы (амперметр, вольтметр, осциллограф, </w:t>
      </w:r>
      <w:proofErr w:type="spellStart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мультиметр</w:t>
      </w:r>
      <w:proofErr w:type="spellEnd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 xml:space="preserve">, Боде плоттер (графопостроитель частотных характеристик схем), функциональный генератор, генератор слов, логический анализатор и логический преобразователь) изображаются в виде, максимально приближенном к </w:t>
      </w:r>
      <w:proofErr w:type="gramStart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реальному</w:t>
      </w:r>
      <w:proofErr w:type="gramEnd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, поэтому работать с ними просто и удобно.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EWB</w:t>
      </w: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 может проводить анализ схем на постоянном и переменном токах.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При анализе на постоянном токе (</w:t>
      </w:r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DC</w:t>
      </w: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) определяется рабочая точка схемы в установившемся режиме. Анализ на переменном токе (</w:t>
      </w:r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AC</w:t>
      </w: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) использует результаты анализа на постоянном токе для получения моделей нелинейных компонентов. Анализ схем в режиме (</w:t>
      </w:r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AC)</w:t>
      </w: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 xml:space="preserve">может проводиться как во временной, так и в </w:t>
      </w:r>
      <w:proofErr w:type="gramStart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частотной</w:t>
      </w:r>
      <w:proofErr w:type="gramEnd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 xml:space="preserve"> областях.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В </w:t>
      </w:r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EWB </w:t>
      </w: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можно исследовать переходные процессы при воздействии на схемы входных сигналов различной формы.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Результаты моделирования можно вывести на принтер или занести в текстовый или графический редактор для их дальнейшей обработки.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Возможность изменения цвета проводников позволяет сделать сложные схемы более удобными для восприятия. Можно отображать различными цветами и графики, что очень удобно при одновременном исследовании нескольких зависимостей.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Программа 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Electronics</w:t>
      </w:r>
      <w:proofErr w:type="spellEnd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Workbench</w:t>
      </w:r>
      <w:proofErr w:type="spellEnd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</w:t>
      </w: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 xml:space="preserve">использует стандартный интерфейс </w:t>
      </w:r>
      <w:proofErr w:type="spellStart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Windows</w:t>
      </w:r>
      <w:proofErr w:type="spellEnd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, что значительно облегчает ее использование.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lastRenderedPageBreak/>
        <w:t>Для установки программы 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Electronics</w:t>
      </w:r>
      <w:proofErr w:type="spellEnd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Workbench</w:t>
      </w:r>
      <w:proofErr w:type="spellEnd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5.12 </w:t>
      </w: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необходимы: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IBM-совместимый компьютер с процессором не хуже 486;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не менее 15 Мб свободного пространства на жестком диске;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 xml:space="preserve">- операционная система не хуже </w:t>
      </w:r>
      <w:proofErr w:type="spellStart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Windows</w:t>
      </w:r>
      <w:proofErr w:type="spellEnd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 xml:space="preserve"> 95;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ОЗУ не менее 16 Мб.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Программа 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Electronics</w:t>
      </w:r>
      <w:proofErr w:type="spellEnd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Workbench</w:t>
      </w:r>
      <w:proofErr w:type="spellEnd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</w:t>
      </w: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позволяет строить схемы различной степени сложности при помощи следующих операций: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выбор элементов и приборов из библиотек;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перемещение элементов и схем в любое место рабочего поля;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поворот элементов и групп элементов на углы, кратные 90 градусам;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копирование, вставка или удаление элементов, групп элементов, фрагментов схем и целых схем;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изменение цвета проводников;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выделение цветом контуров схем для более удобного восприятия;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одновременное подключение нескольких измерительных приборов и наблюдение их показаний на экране монитора;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присваивание элементу условного обозначения;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изменение параметров элементов в широком диапазоне;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задание температурных режимов, как отдельным элементам, так и всей схеме в целом.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Все операции производятся при помощи мыши и клавиатуры. Управление только с клавиатуры невозможно.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Путем настройки приборов можно: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изменять шкалы приборов в зависимости от диапазона измерений;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задавать режим работы прибора;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задавать вид входных воздействий на схему (постоянные и гармонические токи и напряжения, треугольные и прямоугольные импульсы).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Графические возможности программы позволяют: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одновременно наблюдать несколько кривых на графике;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отображать кривые на графиках различными цветами;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измерять координаты точек на графике;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- импортировать данные в графический редактор, что позволяет произвести необходимые преобразования рисунка и вывод его на принтер.</w:t>
      </w:r>
    </w:p>
    <w:p w:rsidR="00117883" w:rsidRPr="00117883" w:rsidRDefault="00117883" w:rsidP="00117883">
      <w:pPr>
        <w:spacing w:after="0" w:line="240" w:lineRule="auto"/>
        <w:ind w:left="150" w:right="150" w:firstLine="397"/>
        <w:jc w:val="both"/>
        <w:rPr>
          <w:rFonts w:ascii="Times New Roman" w:eastAsia="Times New Roman" w:hAnsi="Times New Roman" w:cs="Times New Roman"/>
          <w:color w:val="3D3D3D"/>
          <w:lang w:eastAsia="ru-RU"/>
        </w:rPr>
      </w:pP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 xml:space="preserve">Программа 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Electronics</w:t>
      </w:r>
      <w:proofErr w:type="spellEnd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Workbench</w:t>
      </w:r>
      <w:proofErr w:type="spellEnd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 позволяет также использовать результаты, полученные в программах </w:t>
      </w:r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P-SPICE, PCB</w:t>
      </w: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 xml:space="preserve">, а также </w:t>
      </w:r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lastRenderedPageBreak/>
        <w:t>передавать результаты из 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Electronics</w:t>
      </w:r>
      <w:proofErr w:type="spellEnd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 xml:space="preserve"> </w:t>
      </w:r>
      <w:proofErr w:type="spellStart"/>
      <w:r w:rsidRPr="00117883">
        <w:rPr>
          <w:rFonts w:ascii="Times New Roman" w:eastAsia="Times New Roman" w:hAnsi="Times New Roman" w:cs="Times New Roman"/>
          <w:b/>
          <w:bCs/>
          <w:color w:val="3D3D3D"/>
          <w:lang w:eastAsia="ru-RU"/>
        </w:rPr>
        <w:t>Workbench</w:t>
      </w:r>
      <w:proofErr w:type="spellEnd"/>
      <w:r w:rsidRPr="00117883">
        <w:rPr>
          <w:rFonts w:ascii="Times New Roman" w:eastAsia="Times New Roman" w:hAnsi="Times New Roman" w:cs="Times New Roman"/>
          <w:color w:val="3D3D3D"/>
          <w:lang w:eastAsia="ru-RU"/>
        </w:rPr>
        <w:t> в эти программы. Можно вставить схему или ее фрагмент в текстовый редактор и напечатать в нем пояснения или комментарии по работе схемы.</w:t>
      </w:r>
    </w:p>
    <w:p w:rsidR="003E3BDE" w:rsidRDefault="003E3BDE"/>
    <w:sectPr w:rsidR="003E3BDE" w:rsidSect="0011788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83"/>
    <w:rsid w:val="00117883"/>
    <w:rsid w:val="003E3BDE"/>
    <w:rsid w:val="00E1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986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62756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49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2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93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50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95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4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7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004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9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1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86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22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6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5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6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68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6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70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65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516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8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5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7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89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6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0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18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12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385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68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2618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2023-11-18T13:26:00Z</dcterms:created>
  <dcterms:modified xsi:type="dcterms:W3CDTF">2023-11-18T13:40:00Z</dcterms:modified>
</cp:coreProperties>
</file>